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B1" w:rsidRDefault="00FA33C2" w:rsidP="008231A1">
      <w:pPr>
        <w:pStyle w:val="1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Квалификационны</w:t>
      </w:r>
      <w:r w:rsidR="008231A1">
        <w:rPr>
          <w:sz w:val="28"/>
          <w:szCs w:val="28"/>
        </w:rPr>
        <w:t xml:space="preserve">е показатели для </w:t>
      </w:r>
      <w:r w:rsidR="001B37B1">
        <w:rPr>
          <w:sz w:val="28"/>
          <w:szCs w:val="28"/>
        </w:rPr>
        <w:t>П</w:t>
      </w:r>
      <w:r w:rsidR="008231A1">
        <w:rPr>
          <w:sz w:val="28"/>
          <w:szCs w:val="28"/>
        </w:rPr>
        <w:t>П</w:t>
      </w:r>
      <w:r w:rsidR="001B37B1">
        <w:rPr>
          <w:sz w:val="28"/>
          <w:szCs w:val="28"/>
        </w:rPr>
        <w:t>С</w:t>
      </w:r>
      <w:r w:rsidR="008231A1">
        <w:rPr>
          <w:sz w:val="28"/>
          <w:szCs w:val="28"/>
        </w:rPr>
        <w:t xml:space="preserve"> института</w:t>
      </w:r>
      <w:r w:rsidR="001B37B1">
        <w:rPr>
          <w:sz w:val="28"/>
          <w:szCs w:val="28"/>
        </w:rPr>
        <w:t xml:space="preserve">, </w:t>
      </w:r>
    </w:p>
    <w:p w:rsidR="004805ED" w:rsidRDefault="001B37B1" w:rsidP="008231A1">
      <w:pPr>
        <w:pStyle w:val="1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итоги конкурсов и выборов</w:t>
      </w:r>
    </w:p>
    <w:p w:rsidR="008231A1" w:rsidRPr="008231A1" w:rsidRDefault="008231A1" w:rsidP="008231A1">
      <w:pPr>
        <w:pStyle w:val="12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4805ED" w:rsidRPr="006A4351" w:rsidRDefault="00917C34" w:rsidP="00270E40">
      <w:pPr>
        <w:pStyle w:val="50"/>
        <w:numPr>
          <w:ilvl w:val="0"/>
          <w:numId w:val="1"/>
        </w:numPr>
        <w:shd w:val="clear" w:color="auto" w:fill="auto"/>
        <w:tabs>
          <w:tab w:val="left" w:pos="891"/>
        </w:tabs>
        <w:spacing w:before="0" w:line="228" w:lineRule="auto"/>
        <w:ind w:firstLine="580"/>
        <w:rPr>
          <w:rStyle w:val="51"/>
        </w:rPr>
      </w:pPr>
      <w:proofErr w:type="gramStart"/>
      <w:r w:rsidRPr="006A4351">
        <w:rPr>
          <w:rStyle w:val="51"/>
        </w:rPr>
        <w:t>Претенденты на замещение должностей педагогических работников</w:t>
      </w:r>
      <w:r w:rsidR="001B37B1">
        <w:rPr>
          <w:rStyle w:val="51"/>
        </w:rPr>
        <w:t>, относящихся к профессорско-преподавательскому составу (ППС),</w:t>
      </w:r>
      <w:r w:rsidRPr="006A4351">
        <w:rPr>
          <w:rStyle w:val="51"/>
        </w:rPr>
        <w:t xml:space="preserve"> в НИЯУ МИФИ должны соответствовать квалификационным требованиям к соответствующим должностям, предусмотренным Единым тарифно-квалификационным справочником должностей руководителей, специалистов и других служащих, утвержденным Приказом </w:t>
      </w:r>
      <w:proofErr w:type="spellStart"/>
      <w:r w:rsidRPr="006A4351">
        <w:rPr>
          <w:rStyle w:val="51"/>
        </w:rPr>
        <w:t>Минздравсоцразвития</w:t>
      </w:r>
      <w:proofErr w:type="spellEnd"/>
      <w:r w:rsidRPr="006A4351">
        <w:rPr>
          <w:rStyle w:val="51"/>
        </w:rPr>
        <w:t xml:space="preserve"> РФ от 11.01.2011 № 1н «Об утверждении Единого квалификационного справочника должностей руководителей, с</w:t>
      </w:r>
      <w:r w:rsidR="001B4A2B" w:rsidRPr="006A4351">
        <w:rPr>
          <w:rStyle w:val="51"/>
        </w:rPr>
        <w:t>пециалистов и служащих</w:t>
      </w:r>
      <w:r w:rsidR="009E2DBC">
        <w:rPr>
          <w:rStyle w:val="51"/>
        </w:rPr>
        <w:t>, раздел «Квалификационные характеристики должностей руководителей и специалистов высшего профессионального и дополнительного профессионального</w:t>
      </w:r>
      <w:proofErr w:type="gramEnd"/>
      <w:r w:rsidR="009E2DBC">
        <w:rPr>
          <w:rStyle w:val="51"/>
        </w:rPr>
        <w:t xml:space="preserve"> образования</w:t>
      </w:r>
      <w:r w:rsidR="006A4351" w:rsidRPr="006A4351">
        <w:rPr>
          <w:rStyle w:val="51"/>
        </w:rPr>
        <w:t>»</w:t>
      </w:r>
      <w:r w:rsidR="009E2DBC">
        <w:rPr>
          <w:rStyle w:val="51"/>
        </w:rPr>
        <w:t>»</w:t>
      </w:r>
      <w:r w:rsidRPr="006A4351">
        <w:rPr>
          <w:rStyle w:val="51"/>
        </w:rPr>
        <w:t>.</w:t>
      </w:r>
      <w:r w:rsidR="006A4351" w:rsidRPr="006A4351">
        <w:rPr>
          <w:rStyle w:val="51"/>
        </w:rPr>
        <w:t xml:space="preserve"> Требования к квалификации представлены в Таблице 1.</w:t>
      </w:r>
    </w:p>
    <w:p w:rsidR="006A4351" w:rsidRPr="006A4351" w:rsidRDefault="006A4351" w:rsidP="006A4351">
      <w:pPr>
        <w:pStyle w:val="50"/>
        <w:shd w:val="clear" w:color="auto" w:fill="auto"/>
        <w:tabs>
          <w:tab w:val="left" w:pos="891"/>
        </w:tabs>
        <w:spacing w:before="0" w:line="228" w:lineRule="auto"/>
        <w:ind w:left="580" w:firstLine="0"/>
        <w:rPr>
          <w:rStyle w:val="51"/>
          <w:sz w:val="16"/>
          <w:szCs w:val="1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0"/>
        <w:gridCol w:w="1647"/>
        <w:gridCol w:w="8474"/>
      </w:tblGrid>
      <w:tr w:rsidR="006A4351" w:rsidRPr="006A4351" w:rsidTr="006A4351">
        <w:tc>
          <w:tcPr>
            <w:tcW w:w="262" w:type="pct"/>
            <w:vAlign w:val="center"/>
          </w:tcPr>
          <w:p w:rsidR="006A4351" w:rsidRPr="006A4351" w:rsidRDefault="006A4351" w:rsidP="006A4351">
            <w:pPr>
              <w:pStyle w:val="50"/>
              <w:shd w:val="clear" w:color="auto" w:fill="auto"/>
              <w:tabs>
                <w:tab w:val="left" w:pos="891"/>
              </w:tabs>
              <w:spacing w:before="0" w:line="21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A435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A4351">
              <w:rPr>
                <w:b/>
                <w:sz w:val="24"/>
                <w:szCs w:val="24"/>
              </w:rPr>
              <w:t>п</w:t>
            </w:r>
            <w:proofErr w:type="gramEnd"/>
            <w:r w:rsidRPr="006A435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5" w:type="pct"/>
            <w:vAlign w:val="center"/>
          </w:tcPr>
          <w:p w:rsidR="006A4351" w:rsidRPr="006A4351" w:rsidRDefault="006A4351" w:rsidP="006A4351">
            <w:pPr>
              <w:pStyle w:val="50"/>
              <w:shd w:val="clear" w:color="auto" w:fill="auto"/>
              <w:tabs>
                <w:tab w:val="left" w:pos="891"/>
              </w:tabs>
              <w:spacing w:before="0" w:line="21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A435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073" w:type="pct"/>
            <w:vAlign w:val="center"/>
          </w:tcPr>
          <w:p w:rsidR="006A4351" w:rsidRPr="006A4351" w:rsidRDefault="006A4351" w:rsidP="006A4351">
            <w:pPr>
              <w:pStyle w:val="50"/>
              <w:shd w:val="clear" w:color="auto" w:fill="auto"/>
              <w:tabs>
                <w:tab w:val="left" w:pos="891"/>
              </w:tabs>
              <w:spacing w:before="0" w:line="21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A4351">
              <w:rPr>
                <w:b/>
                <w:sz w:val="24"/>
                <w:szCs w:val="24"/>
              </w:rPr>
              <w:t>Квалификационные требования</w:t>
            </w:r>
          </w:p>
        </w:tc>
      </w:tr>
      <w:tr w:rsidR="006A4351" w:rsidRPr="006A4351" w:rsidTr="006A4351">
        <w:tc>
          <w:tcPr>
            <w:tcW w:w="262" w:type="pct"/>
            <w:vAlign w:val="center"/>
          </w:tcPr>
          <w:p w:rsidR="006A4351" w:rsidRPr="006A4351" w:rsidRDefault="006A4351" w:rsidP="006A4351">
            <w:pPr>
              <w:pStyle w:val="50"/>
              <w:shd w:val="clear" w:color="auto" w:fill="auto"/>
              <w:tabs>
                <w:tab w:val="left" w:pos="891"/>
              </w:tabs>
              <w:spacing w:before="0" w:line="216" w:lineRule="auto"/>
              <w:ind w:firstLine="0"/>
              <w:jc w:val="center"/>
              <w:rPr>
                <w:sz w:val="24"/>
                <w:szCs w:val="24"/>
              </w:rPr>
            </w:pPr>
            <w:r w:rsidRPr="006A4351">
              <w:rPr>
                <w:sz w:val="24"/>
                <w:szCs w:val="24"/>
              </w:rPr>
              <w:t>1</w:t>
            </w:r>
          </w:p>
        </w:tc>
        <w:tc>
          <w:tcPr>
            <w:tcW w:w="665" w:type="pct"/>
            <w:vAlign w:val="center"/>
          </w:tcPr>
          <w:p w:rsidR="006A4351" w:rsidRPr="006A4351" w:rsidRDefault="006A4351" w:rsidP="006A4351">
            <w:pPr>
              <w:pStyle w:val="a7"/>
              <w:shd w:val="clear" w:color="auto" w:fill="auto"/>
              <w:tabs>
                <w:tab w:val="left" w:pos="3863"/>
                <w:tab w:val="left" w:pos="5519"/>
                <w:tab w:val="left" w:pos="6602"/>
                <w:tab w:val="left" w:pos="7812"/>
                <w:tab w:val="left" w:pos="8719"/>
              </w:tabs>
              <w:spacing w:before="0" w:after="0" w:line="216" w:lineRule="auto"/>
              <w:rPr>
                <w:sz w:val="24"/>
                <w:szCs w:val="24"/>
              </w:rPr>
            </w:pPr>
            <w:r w:rsidRPr="006A4351">
              <w:rPr>
                <w:sz w:val="24"/>
                <w:szCs w:val="24"/>
              </w:rPr>
              <w:t>Профессор</w:t>
            </w:r>
          </w:p>
        </w:tc>
        <w:tc>
          <w:tcPr>
            <w:tcW w:w="4073" w:type="pct"/>
          </w:tcPr>
          <w:p w:rsidR="006A4351" w:rsidRPr="00783A36" w:rsidRDefault="00783A36" w:rsidP="00783A3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83A36">
              <w:rPr>
                <w:rFonts w:ascii="Times New Roman" w:eastAsia="Times New Roman" w:hAnsi="Times New Roman" w:cs="Times New Roman"/>
                <w:color w:val="auto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6A4351" w:rsidRPr="006A4351" w:rsidTr="006A4351">
        <w:tc>
          <w:tcPr>
            <w:tcW w:w="262" w:type="pct"/>
            <w:vAlign w:val="center"/>
          </w:tcPr>
          <w:p w:rsidR="006A4351" w:rsidRPr="006A4351" w:rsidRDefault="006A4351" w:rsidP="006A4351">
            <w:pPr>
              <w:pStyle w:val="50"/>
              <w:shd w:val="clear" w:color="auto" w:fill="auto"/>
              <w:tabs>
                <w:tab w:val="left" w:pos="891"/>
              </w:tabs>
              <w:spacing w:before="0" w:line="216" w:lineRule="auto"/>
              <w:ind w:firstLine="0"/>
              <w:jc w:val="center"/>
              <w:rPr>
                <w:sz w:val="24"/>
                <w:szCs w:val="24"/>
              </w:rPr>
            </w:pPr>
            <w:r w:rsidRPr="006A4351">
              <w:rPr>
                <w:sz w:val="24"/>
                <w:szCs w:val="24"/>
              </w:rPr>
              <w:t>2</w:t>
            </w:r>
          </w:p>
        </w:tc>
        <w:tc>
          <w:tcPr>
            <w:tcW w:w="665" w:type="pct"/>
            <w:vAlign w:val="center"/>
          </w:tcPr>
          <w:p w:rsidR="006A4351" w:rsidRPr="006A4351" w:rsidRDefault="006A4351" w:rsidP="006A4351">
            <w:pPr>
              <w:pStyle w:val="a7"/>
              <w:shd w:val="clear" w:color="auto" w:fill="auto"/>
              <w:tabs>
                <w:tab w:val="left" w:pos="3863"/>
                <w:tab w:val="left" w:pos="5519"/>
                <w:tab w:val="left" w:pos="6602"/>
                <w:tab w:val="left" w:pos="7812"/>
                <w:tab w:val="left" w:pos="8719"/>
              </w:tabs>
              <w:spacing w:before="0" w:after="0" w:line="216" w:lineRule="auto"/>
              <w:rPr>
                <w:sz w:val="24"/>
                <w:szCs w:val="24"/>
              </w:rPr>
            </w:pPr>
            <w:r w:rsidRPr="006A4351">
              <w:rPr>
                <w:sz w:val="24"/>
                <w:szCs w:val="24"/>
              </w:rPr>
              <w:t>Доцент</w:t>
            </w:r>
          </w:p>
        </w:tc>
        <w:tc>
          <w:tcPr>
            <w:tcW w:w="4073" w:type="pct"/>
          </w:tcPr>
          <w:p w:rsidR="006A4351" w:rsidRPr="00783A36" w:rsidRDefault="00783A36" w:rsidP="00783A3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83A36">
              <w:rPr>
                <w:rFonts w:ascii="Times New Roman" w:eastAsia="Times New Roman" w:hAnsi="Times New Roman" w:cs="Times New Roman"/>
                <w:color w:val="auto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</w:tr>
      <w:tr w:rsidR="00783A36" w:rsidRPr="006A4351" w:rsidTr="006A4351">
        <w:tc>
          <w:tcPr>
            <w:tcW w:w="262" w:type="pct"/>
            <w:vAlign w:val="center"/>
          </w:tcPr>
          <w:p w:rsidR="00783A36" w:rsidRPr="006A4351" w:rsidRDefault="00B918DC" w:rsidP="006A4351">
            <w:pPr>
              <w:pStyle w:val="50"/>
              <w:shd w:val="clear" w:color="auto" w:fill="auto"/>
              <w:tabs>
                <w:tab w:val="left" w:pos="891"/>
              </w:tabs>
              <w:spacing w:before="0" w:line="216" w:lineRule="auto"/>
              <w:ind w:firstLine="0"/>
              <w:jc w:val="center"/>
              <w:rPr>
                <w:sz w:val="24"/>
                <w:szCs w:val="24"/>
              </w:rPr>
            </w:pPr>
            <w:r w:rsidRPr="006A4351">
              <w:rPr>
                <w:sz w:val="24"/>
                <w:szCs w:val="24"/>
              </w:rPr>
              <w:t>3</w:t>
            </w:r>
          </w:p>
        </w:tc>
        <w:tc>
          <w:tcPr>
            <w:tcW w:w="665" w:type="pct"/>
            <w:vAlign w:val="center"/>
          </w:tcPr>
          <w:p w:rsidR="00783A36" w:rsidRPr="006A4351" w:rsidRDefault="00783A36" w:rsidP="006A4351">
            <w:pPr>
              <w:pStyle w:val="a7"/>
              <w:shd w:val="clear" w:color="auto" w:fill="auto"/>
              <w:tabs>
                <w:tab w:val="left" w:pos="3863"/>
                <w:tab w:val="left" w:pos="5519"/>
                <w:tab w:val="left" w:pos="6602"/>
                <w:tab w:val="left" w:pos="7812"/>
                <w:tab w:val="left" w:pos="8719"/>
              </w:tabs>
              <w:spacing w:before="0" w:after="0" w:line="216" w:lineRule="auto"/>
              <w:rPr>
                <w:sz w:val="24"/>
                <w:szCs w:val="24"/>
              </w:rPr>
            </w:pPr>
            <w:r>
              <w:t>Старший преподаватель</w:t>
            </w:r>
          </w:p>
        </w:tc>
        <w:tc>
          <w:tcPr>
            <w:tcW w:w="4073" w:type="pct"/>
          </w:tcPr>
          <w:p w:rsidR="00783A36" w:rsidRPr="00783A36" w:rsidRDefault="00783A36" w:rsidP="00783A3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83A36">
              <w:rPr>
                <w:rFonts w:ascii="Times New Roman" w:eastAsia="Times New Roman" w:hAnsi="Times New Roman" w:cs="Times New Roman"/>
                <w:color w:val="auto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 года.</w:t>
            </w:r>
          </w:p>
        </w:tc>
      </w:tr>
      <w:tr w:rsidR="006A4351" w:rsidRPr="006A4351" w:rsidTr="006A4351">
        <w:tc>
          <w:tcPr>
            <w:tcW w:w="262" w:type="pct"/>
            <w:vAlign w:val="center"/>
          </w:tcPr>
          <w:p w:rsidR="006A4351" w:rsidRPr="006A4351" w:rsidRDefault="00B918DC" w:rsidP="006A4351">
            <w:pPr>
              <w:pStyle w:val="50"/>
              <w:shd w:val="clear" w:color="auto" w:fill="auto"/>
              <w:tabs>
                <w:tab w:val="left" w:pos="891"/>
              </w:tabs>
              <w:spacing w:before="0"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" w:type="pct"/>
            <w:vAlign w:val="center"/>
          </w:tcPr>
          <w:p w:rsidR="006A4351" w:rsidRPr="006A4351" w:rsidRDefault="006A4351" w:rsidP="006A4351">
            <w:pPr>
              <w:pStyle w:val="a7"/>
              <w:shd w:val="clear" w:color="auto" w:fill="auto"/>
              <w:tabs>
                <w:tab w:val="left" w:pos="3863"/>
                <w:tab w:val="left" w:pos="5519"/>
                <w:tab w:val="left" w:pos="6602"/>
                <w:tab w:val="left" w:pos="7812"/>
                <w:tab w:val="left" w:pos="8719"/>
              </w:tabs>
              <w:spacing w:before="0" w:after="0" w:line="216" w:lineRule="auto"/>
              <w:rPr>
                <w:sz w:val="24"/>
                <w:szCs w:val="24"/>
              </w:rPr>
            </w:pPr>
            <w:r w:rsidRPr="006A4351">
              <w:rPr>
                <w:sz w:val="24"/>
                <w:szCs w:val="24"/>
              </w:rPr>
              <w:t>Ассистент</w:t>
            </w:r>
          </w:p>
        </w:tc>
        <w:tc>
          <w:tcPr>
            <w:tcW w:w="4073" w:type="pct"/>
          </w:tcPr>
          <w:p w:rsidR="006A4351" w:rsidRPr="00783A36" w:rsidRDefault="00783A36" w:rsidP="00783A3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83A36">
              <w:rPr>
                <w:rFonts w:ascii="Times New Roman" w:eastAsia="Times New Roman" w:hAnsi="Times New Roman" w:cs="Times New Roman"/>
                <w:color w:val="auto"/>
              </w:rPr>
              <w:t>Высшее профессиональное образование и стаж работы в образовательном учреждении не менее 1 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      </w:r>
          </w:p>
        </w:tc>
      </w:tr>
    </w:tbl>
    <w:p w:rsidR="006A4351" w:rsidRPr="006A4351" w:rsidRDefault="006A4351" w:rsidP="006A4351">
      <w:pPr>
        <w:pStyle w:val="50"/>
        <w:shd w:val="clear" w:color="auto" w:fill="auto"/>
        <w:tabs>
          <w:tab w:val="left" w:pos="891"/>
        </w:tabs>
        <w:spacing w:before="0" w:line="228" w:lineRule="auto"/>
        <w:ind w:left="580" w:firstLine="0"/>
        <w:rPr>
          <w:sz w:val="16"/>
          <w:szCs w:val="16"/>
        </w:rPr>
      </w:pPr>
    </w:p>
    <w:p w:rsidR="004805ED" w:rsidRPr="006A4351" w:rsidRDefault="00917C34" w:rsidP="00270E40">
      <w:pPr>
        <w:pStyle w:val="50"/>
        <w:numPr>
          <w:ilvl w:val="0"/>
          <w:numId w:val="1"/>
        </w:numPr>
        <w:shd w:val="clear" w:color="auto" w:fill="auto"/>
        <w:tabs>
          <w:tab w:val="left" w:pos="873"/>
        </w:tabs>
        <w:spacing w:before="0" w:line="228" w:lineRule="auto"/>
        <w:ind w:firstLine="580"/>
      </w:pPr>
      <w:r w:rsidRPr="006A4351">
        <w:rPr>
          <w:rStyle w:val="51"/>
        </w:rPr>
        <w:t xml:space="preserve">Требования к публикационной активности </w:t>
      </w:r>
      <w:r w:rsidR="001F0029">
        <w:rPr>
          <w:rStyle w:val="51"/>
        </w:rPr>
        <w:t>ППС</w:t>
      </w:r>
      <w:r w:rsidRPr="006A4351">
        <w:rPr>
          <w:rStyle w:val="51"/>
        </w:rPr>
        <w:t xml:space="preserve"> утверждаются Ученым советом НИЯУ МИФИ.</w:t>
      </w:r>
    </w:p>
    <w:p w:rsidR="004805ED" w:rsidRPr="006A4351" w:rsidRDefault="00917C34" w:rsidP="00270E40">
      <w:pPr>
        <w:pStyle w:val="50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228" w:lineRule="auto"/>
        <w:ind w:firstLine="580"/>
      </w:pPr>
      <w:r w:rsidRPr="006A4351">
        <w:rPr>
          <w:rStyle w:val="51"/>
        </w:rPr>
        <w:t xml:space="preserve">Требования к публикационной активности </w:t>
      </w:r>
      <w:r w:rsidR="001F0029">
        <w:rPr>
          <w:rStyle w:val="51"/>
        </w:rPr>
        <w:t xml:space="preserve">ППС </w:t>
      </w:r>
      <w:r w:rsidRPr="006A4351">
        <w:rPr>
          <w:rStyle w:val="51"/>
        </w:rPr>
        <w:t xml:space="preserve">распространяются на претендентов имеющих стаж научно-педагогической работы, определенный квалификационными требованиями, но не менее 3 лет, либо успешно окончивших аспирантуру. Лица, претендующие на занятие должности </w:t>
      </w:r>
      <w:r w:rsidRPr="007766E0">
        <w:rPr>
          <w:rStyle w:val="51"/>
        </w:rPr>
        <w:t>ассистента</w:t>
      </w:r>
      <w:r w:rsidRPr="006A4351">
        <w:rPr>
          <w:rStyle w:val="51"/>
        </w:rPr>
        <w:t xml:space="preserve"> или </w:t>
      </w:r>
      <w:r w:rsidRPr="007766E0">
        <w:rPr>
          <w:rStyle w:val="51"/>
        </w:rPr>
        <w:t>младшего научного сотрудника</w:t>
      </w:r>
      <w:r w:rsidRPr="006A4351">
        <w:rPr>
          <w:rStyle w:val="51"/>
        </w:rPr>
        <w:t xml:space="preserve"> НИЯУ МИФИ сразу после окончания высшего учебного заведения, могут быть приняты на работу по результатам конкурса на срок не более одного года.</w:t>
      </w:r>
    </w:p>
    <w:p w:rsidR="004805ED" w:rsidRDefault="00917C34" w:rsidP="00270E40">
      <w:pPr>
        <w:pStyle w:val="50"/>
        <w:numPr>
          <w:ilvl w:val="0"/>
          <w:numId w:val="1"/>
        </w:numPr>
        <w:shd w:val="clear" w:color="auto" w:fill="auto"/>
        <w:tabs>
          <w:tab w:val="left" w:pos="974"/>
        </w:tabs>
        <w:spacing w:before="0" w:line="228" w:lineRule="auto"/>
        <w:ind w:firstLine="580"/>
        <w:rPr>
          <w:rStyle w:val="51"/>
        </w:rPr>
      </w:pPr>
      <w:r w:rsidRPr="006A4351">
        <w:rPr>
          <w:rStyle w:val="51"/>
        </w:rPr>
        <w:t xml:space="preserve">Претендент на должность </w:t>
      </w:r>
      <w:r w:rsidR="003D7490" w:rsidRPr="007766E0">
        <w:rPr>
          <w:rStyle w:val="51"/>
        </w:rPr>
        <w:t>ассистента, старшего преподавателя</w:t>
      </w:r>
      <w:r w:rsidRPr="006A4351">
        <w:rPr>
          <w:rStyle w:val="51"/>
        </w:rPr>
        <w:t xml:space="preserve"> НИЯУ МИФИ </w:t>
      </w:r>
      <w:r w:rsidR="003D7490">
        <w:rPr>
          <w:rStyle w:val="51"/>
        </w:rPr>
        <w:t xml:space="preserve">должен иметь не менее трех научных работ, опубликованных за </w:t>
      </w:r>
      <w:proofErr w:type="gramStart"/>
      <w:r w:rsidR="003D7490">
        <w:rPr>
          <w:rStyle w:val="51"/>
        </w:rPr>
        <w:t>последние</w:t>
      </w:r>
      <w:proofErr w:type="gramEnd"/>
      <w:r w:rsidR="003D7490">
        <w:rPr>
          <w:rStyle w:val="51"/>
        </w:rPr>
        <w:t xml:space="preserve"> 5 лет </w:t>
      </w:r>
      <w:r w:rsidR="00D80700">
        <w:rPr>
          <w:rStyle w:val="51"/>
        </w:rPr>
        <w:t xml:space="preserve">в журналах из списка ВАК. К </w:t>
      </w:r>
      <w:r w:rsidR="006F30B6">
        <w:rPr>
          <w:rStyle w:val="51"/>
        </w:rPr>
        <w:t>статьям в журналах из списка ВАК приравниваются патенты (на изобретение, на полезную модель, на промышленный образец), свидетельства о государственной регистрации (программы для ЭВМ, базы данных, топологии интегральной микросхемы), а также секреты производства (ноу-хау), оформленные в соответствии с ФЗ о коммерческой тайне.</w:t>
      </w:r>
    </w:p>
    <w:p w:rsidR="006F30B6" w:rsidRDefault="006F30B6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r>
        <w:rPr>
          <w:rStyle w:val="51"/>
        </w:rPr>
        <w:t>Претенденты на должность профессора или доцента НИЯУ МИФИ должен иметь опубликованные научные и учебно-методические работы и обладать, как правило, опытом чтения лекций по профилю кафедры. Конкурсной комиссии Ученого совета структурного подразделения НИЯУ МИФИ рекомендуется давать положительное заключение в случае, если на момент прохождения конкурса претендент на должность:</w:t>
      </w:r>
    </w:p>
    <w:p w:rsidR="006F30B6" w:rsidRDefault="00B34996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r>
        <w:rPr>
          <w:rStyle w:val="51"/>
        </w:rPr>
        <w:t>а) профессора:</w:t>
      </w:r>
    </w:p>
    <w:p w:rsidR="00B34996" w:rsidRDefault="00B34996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proofErr w:type="gramStart"/>
      <w:r>
        <w:rPr>
          <w:rStyle w:val="51"/>
        </w:rPr>
        <w:t>– является автором (соавтором) учебника (учебного пособия) или не менее трех учебно-методических работ, опубликованных за последние 5 лет;</w:t>
      </w:r>
      <w:proofErr w:type="gramEnd"/>
    </w:p>
    <w:p w:rsidR="00B34996" w:rsidRDefault="00B34996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r>
        <w:rPr>
          <w:rStyle w:val="51"/>
        </w:rPr>
        <w:t xml:space="preserve">– является автором (соавтором) не менее пяти научных работ, опубликованных за </w:t>
      </w:r>
      <w:proofErr w:type="gramStart"/>
      <w:r>
        <w:rPr>
          <w:rStyle w:val="51"/>
        </w:rPr>
        <w:t>последние</w:t>
      </w:r>
      <w:proofErr w:type="gramEnd"/>
      <w:r>
        <w:rPr>
          <w:rStyle w:val="51"/>
        </w:rPr>
        <w:t xml:space="preserve"> 5 лет в рецензируемых журналах из списка ВАК;</w:t>
      </w:r>
    </w:p>
    <w:p w:rsidR="00B34996" w:rsidRDefault="00B34996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r>
        <w:rPr>
          <w:rStyle w:val="51"/>
        </w:rPr>
        <w:t>б) доцента:</w:t>
      </w:r>
    </w:p>
    <w:p w:rsidR="00B34996" w:rsidRDefault="00B34996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proofErr w:type="gramStart"/>
      <w:r>
        <w:rPr>
          <w:rStyle w:val="51"/>
        </w:rPr>
        <w:t>– является автором (соавтором) учебника (учебного пособия) или не менее двух учебно-методических работ, опубликованных за последние 5 лет;</w:t>
      </w:r>
      <w:proofErr w:type="gramEnd"/>
    </w:p>
    <w:p w:rsidR="00B34996" w:rsidRDefault="00B34996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r>
        <w:rPr>
          <w:rStyle w:val="51"/>
        </w:rPr>
        <w:t xml:space="preserve">– является автором (соавтором) не менее четырех научных работ, опубликованных за </w:t>
      </w:r>
      <w:proofErr w:type="gramStart"/>
      <w:r>
        <w:rPr>
          <w:rStyle w:val="51"/>
        </w:rPr>
        <w:t>последние</w:t>
      </w:r>
      <w:proofErr w:type="gramEnd"/>
      <w:r>
        <w:rPr>
          <w:rStyle w:val="51"/>
        </w:rPr>
        <w:t xml:space="preserve"> 5 лет в рецензируемых журналах из списка ВАК.</w:t>
      </w:r>
    </w:p>
    <w:p w:rsidR="00B34996" w:rsidRDefault="00B34996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proofErr w:type="gramStart"/>
      <w:r>
        <w:rPr>
          <w:rStyle w:val="51"/>
        </w:rPr>
        <w:lastRenderedPageBreak/>
        <w:t>Если претендент не удовлетворяет сформулированным требованиям, конкурсная комиссия может рекомендовать Ученому совету структурного подразделения НИЯУ МИФИ избрать претендента на срок менее 5 лет, либо не избирать его на преподавательскую должность.</w:t>
      </w:r>
      <w:proofErr w:type="gramEnd"/>
      <w:r>
        <w:rPr>
          <w:rStyle w:val="51"/>
        </w:rPr>
        <w:t xml:space="preserve"> Исключение может быть сделано </w:t>
      </w:r>
      <w:proofErr w:type="gramStart"/>
      <w:r>
        <w:rPr>
          <w:rStyle w:val="51"/>
        </w:rPr>
        <w:t>для</w:t>
      </w:r>
      <w:proofErr w:type="gramEnd"/>
      <w:r>
        <w:rPr>
          <w:rStyle w:val="51"/>
        </w:rPr>
        <w:t>:</w:t>
      </w:r>
    </w:p>
    <w:p w:rsidR="00B34996" w:rsidRDefault="00B34996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r>
        <w:rPr>
          <w:rStyle w:val="51"/>
        </w:rPr>
        <w:t>– преподавателей совместителей при наличии соо</w:t>
      </w:r>
      <w:r w:rsidR="007766E0">
        <w:rPr>
          <w:rStyle w:val="51"/>
        </w:rPr>
        <w:t>тветствующего решения Президиума Ученого совета;</w:t>
      </w:r>
    </w:p>
    <w:p w:rsidR="007766E0" w:rsidRDefault="007766E0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r>
        <w:rPr>
          <w:rStyle w:val="51"/>
        </w:rPr>
        <w:t xml:space="preserve">– </w:t>
      </w:r>
      <w:proofErr w:type="gramStart"/>
      <w:r>
        <w:rPr>
          <w:rStyle w:val="51"/>
        </w:rPr>
        <w:t>преподавателей</w:t>
      </w:r>
      <w:proofErr w:type="gramEnd"/>
      <w:r>
        <w:rPr>
          <w:rStyle w:val="51"/>
        </w:rPr>
        <w:t xml:space="preserve"> не выпускающих кафедр, выполняющих большую учебную нагрузку и ведущих активную учебно-методическую работу;</w:t>
      </w:r>
    </w:p>
    <w:p w:rsidR="007766E0" w:rsidRDefault="007766E0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r>
        <w:rPr>
          <w:rStyle w:val="51"/>
        </w:rPr>
        <w:t>– наиболее опытных профессоров НИЯУ МИФИ, имеющих большой стаж научно-педагогической работы в университете, продолжающих активную преподавательскую деятельность и имеющих учебно-методические работы. (В этом случае претендент может быть рекомендован кадровой комиссией для занятия должности профессора-консультанта).</w:t>
      </w:r>
    </w:p>
    <w:p w:rsidR="007766E0" w:rsidRDefault="007766E0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  <w:rPr>
          <w:rStyle w:val="51"/>
        </w:rPr>
      </w:pPr>
      <w:r>
        <w:rPr>
          <w:rStyle w:val="51"/>
        </w:rPr>
        <w:t xml:space="preserve">За 2016-2017 учебный год в конкурсе на замещение вакантной должности на </w:t>
      </w:r>
      <w:r w:rsidR="00704032">
        <w:rPr>
          <w:rStyle w:val="51"/>
        </w:rPr>
        <w:t xml:space="preserve">должность профессора приняли участие </w:t>
      </w:r>
      <w:r w:rsidR="00B918DC">
        <w:rPr>
          <w:rStyle w:val="51"/>
        </w:rPr>
        <w:t xml:space="preserve">2 </w:t>
      </w:r>
      <w:r w:rsidR="00704032">
        <w:rPr>
          <w:rStyle w:val="51"/>
        </w:rPr>
        <w:t>человек</w:t>
      </w:r>
      <w:r w:rsidR="00B918DC">
        <w:rPr>
          <w:rStyle w:val="51"/>
        </w:rPr>
        <w:t>а</w:t>
      </w:r>
      <w:r w:rsidR="00704032">
        <w:rPr>
          <w:rStyle w:val="51"/>
        </w:rPr>
        <w:t xml:space="preserve">, на должность доцента – </w:t>
      </w:r>
      <w:r w:rsidR="00B918DC">
        <w:rPr>
          <w:rStyle w:val="51"/>
        </w:rPr>
        <w:t xml:space="preserve">15 </w:t>
      </w:r>
      <w:r w:rsidR="00704032">
        <w:rPr>
          <w:rStyle w:val="51"/>
        </w:rPr>
        <w:t xml:space="preserve">человек, на должность старшего преподавателя – </w:t>
      </w:r>
      <w:r w:rsidR="00B918DC">
        <w:rPr>
          <w:rStyle w:val="51"/>
        </w:rPr>
        <w:t>12</w:t>
      </w:r>
      <w:r w:rsidR="00704032">
        <w:rPr>
          <w:rStyle w:val="51"/>
        </w:rPr>
        <w:t xml:space="preserve"> человек.</w:t>
      </w:r>
      <w:r w:rsidR="00B918DC">
        <w:rPr>
          <w:rStyle w:val="51"/>
        </w:rPr>
        <w:t xml:space="preserve"> </w:t>
      </w:r>
      <w:r w:rsidR="00B918DC" w:rsidRPr="00B918DC">
        <w:t>На основании результатов тайного голосования</w:t>
      </w:r>
      <w:r w:rsidR="00B918DC">
        <w:t xml:space="preserve"> 1 человек не выбран на должность</w:t>
      </w:r>
      <w:r w:rsidR="00525263">
        <w:t xml:space="preserve"> доцента.</w:t>
      </w:r>
    </w:p>
    <w:p w:rsidR="00704032" w:rsidRPr="006A4351" w:rsidRDefault="00704032" w:rsidP="00B34996">
      <w:pPr>
        <w:pStyle w:val="50"/>
        <w:shd w:val="clear" w:color="auto" w:fill="auto"/>
        <w:tabs>
          <w:tab w:val="left" w:pos="974"/>
        </w:tabs>
        <w:spacing w:before="0" w:line="228" w:lineRule="auto"/>
        <w:ind w:firstLine="567"/>
      </w:pPr>
      <w:r>
        <w:rPr>
          <w:rStyle w:val="51"/>
        </w:rPr>
        <w:t>Все представленные кандидатуры в основном соответствовали требованиям, предъявленным к ППС по конкурсному отб</w:t>
      </w:r>
      <w:bookmarkStart w:id="0" w:name="_GoBack"/>
      <w:bookmarkEnd w:id="0"/>
      <w:r>
        <w:rPr>
          <w:rStyle w:val="51"/>
        </w:rPr>
        <w:t>ору на должность.</w:t>
      </w:r>
    </w:p>
    <w:sectPr w:rsidR="00704032" w:rsidRPr="006A4351" w:rsidSect="006A4351">
      <w:type w:val="continuous"/>
      <w:pgSz w:w="11905" w:h="16837"/>
      <w:pgMar w:top="426" w:right="720" w:bottom="426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5F" w:rsidRDefault="0082565F">
      <w:r>
        <w:separator/>
      </w:r>
    </w:p>
  </w:endnote>
  <w:endnote w:type="continuationSeparator" w:id="0">
    <w:p w:rsidR="0082565F" w:rsidRDefault="0082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5F" w:rsidRDefault="0082565F"/>
  </w:footnote>
  <w:footnote w:type="continuationSeparator" w:id="0">
    <w:p w:rsidR="0082565F" w:rsidRDefault="008256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770E"/>
    <w:multiLevelType w:val="multilevel"/>
    <w:tmpl w:val="3A227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805ED"/>
    <w:rsid w:val="000075AA"/>
    <w:rsid w:val="000D1C51"/>
    <w:rsid w:val="000E68FA"/>
    <w:rsid w:val="001B37B1"/>
    <w:rsid w:val="001B4A2B"/>
    <w:rsid w:val="001F0029"/>
    <w:rsid w:val="00250F6E"/>
    <w:rsid w:val="00270E40"/>
    <w:rsid w:val="003B5842"/>
    <w:rsid w:val="003D7490"/>
    <w:rsid w:val="003F6A47"/>
    <w:rsid w:val="004134A7"/>
    <w:rsid w:val="004805ED"/>
    <w:rsid w:val="004A6123"/>
    <w:rsid w:val="00525263"/>
    <w:rsid w:val="00535B50"/>
    <w:rsid w:val="006A4351"/>
    <w:rsid w:val="006D659E"/>
    <w:rsid w:val="006F30B6"/>
    <w:rsid w:val="00704032"/>
    <w:rsid w:val="007766E0"/>
    <w:rsid w:val="00783A36"/>
    <w:rsid w:val="007B4969"/>
    <w:rsid w:val="008231A1"/>
    <w:rsid w:val="0082565F"/>
    <w:rsid w:val="00917C34"/>
    <w:rsid w:val="009E2DBC"/>
    <w:rsid w:val="00AE5347"/>
    <w:rsid w:val="00B34996"/>
    <w:rsid w:val="00B918DC"/>
    <w:rsid w:val="00D503EE"/>
    <w:rsid w:val="00D80700"/>
    <w:rsid w:val="00E53432"/>
    <w:rsid w:val="00EE1E35"/>
    <w:rsid w:val="00F727D0"/>
    <w:rsid w:val="00FA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A47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A47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 (5)"/>
    <w:basedOn w:val="5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3F6A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 (3)_"/>
    <w:basedOn w:val="a0"/>
    <w:link w:val="130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главление_"/>
    <w:basedOn w:val="a0"/>
    <w:link w:val="a7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главление (2)_"/>
    <w:basedOn w:val="a0"/>
    <w:link w:val="20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главление + Интервал 2 pt"/>
    <w:basedOn w:val="a6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">
    <w:name w:val="Оглавление (3)_"/>
    <w:basedOn w:val="a0"/>
    <w:link w:val="30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1pt">
    <w:name w:val="Оглавление + Курсив;Интервал 1 pt"/>
    <w:basedOn w:val="a6"/>
    <w:rsid w:val="003F6A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lang w:val="en-US"/>
    </w:rPr>
  </w:style>
  <w:style w:type="character" w:customStyle="1" w:styleId="4">
    <w:name w:val="Оглавление (4)_"/>
    <w:basedOn w:val="a0"/>
    <w:link w:val="40"/>
    <w:rsid w:val="003F6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0">
    <w:name w:val="Заголовок №1 (2)"/>
    <w:basedOn w:val="a"/>
    <w:link w:val="12"/>
    <w:rsid w:val="003F6A47"/>
    <w:pPr>
      <w:shd w:val="clear" w:color="auto" w:fill="FFFFFF"/>
      <w:spacing w:before="120" w:line="374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3F6A47"/>
    <w:pPr>
      <w:shd w:val="clear" w:color="auto" w:fill="FFFFFF"/>
      <w:spacing w:before="240" w:line="299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F6A47"/>
    <w:pPr>
      <w:shd w:val="clear" w:color="auto" w:fill="FFFFFF"/>
      <w:spacing w:line="41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Заголовок №1 (3)"/>
    <w:basedOn w:val="a"/>
    <w:link w:val="13"/>
    <w:rsid w:val="003F6A47"/>
    <w:pPr>
      <w:shd w:val="clear" w:color="auto" w:fill="FFFFFF"/>
      <w:spacing w:after="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3F6A47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Оглавление"/>
    <w:basedOn w:val="a"/>
    <w:link w:val="a6"/>
    <w:rsid w:val="003F6A4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главление (2)"/>
    <w:basedOn w:val="a"/>
    <w:link w:val="2"/>
    <w:rsid w:val="003F6A4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главление (3)"/>
    <w:basedOn w:val="a"/>
    <w:link w:val="3"/>
    <w:rsid w:val="003F6A47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40">
    <w:name w:val="Оглавление (4)"/>
    <w:basedOn w:val="a"/>
    <w:link w:val="4"/>
    <w:rsid w:val="003F6A4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8">
    <w:name w:val="Table Grid"/>
    <w:basedOn w:val="a1"/>
    <w:uiPriority w:val="59"/>
    <w:rsid w:val="0091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7A35-6649-414D-8DF9-54D19073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НИЯУМИФИ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оператор</cp:lastModifiedBy>
  <cp:revision>9</cp:revision>
  <cp:lastPrinted>2017-08-25T05:31:00Z</cp:lastPrinted>
  <dcterms:created xsi:type="dcterms:W3CDTF">2015-08-12T10:16:00Z</dcterms:created>
  <dcterms:modified xsi:type="dcterms:W3CDTF">2017-08-25T05:31:00Z</dcterms:modified>
</cp:coreProperties>
</file>